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drawing>
          <wp:inline distT="0" distB="0" distL="0" distR="0">
            <wp:extent cx="3657600" cy="17617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zarene Logo-bird-on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FAE" w:rsidRPr="004D3FAE" w:rsidRDefault="00097A2B" w:rsidP="004D3FAE">
      <w:pPr>
        <w:pStyle w:val="AOF-Church"/>
        <w:rPr>
          <w:noProof/>
          <w:spacing w:val="0"/>
          <w:kern w:val="0"/>
        </w:rPr>
      </w:pPr>
      <w:r>
        <w:rPr>
          <w:noProof/>
          <w:spacing w:val="0"/>
          <w:kern w:val="0"/>
        </w:rPr>
        <w:t>ЦЪРКВА</w:t>
      </w:r>
      <w:bookmarkStart w:id="0" w:name="_GoBack"/>
      <w:bookmarkEnd w:id="0"/>
      <w:r w:rsidR="004D3FAE" w:rsidRPr="004D3FAE">
        <w:rPr>
          <w:noProof/>
          <w:spacing w:val="0"/>
          <w:kern w:val="0"/>
        </w:rPr>
        <w:t xml:space="preserve"> НА НАЗАРЯНИНА</w:t>
      </w:r>
    </w:p>
    <w:p w:rsidR="004D3FAE" w:rsidRPr="004D3FAE" w:rsidRDefault="004D3FAE" w:rsidP="004D3FAE">
      <w:pPr>
        <w:pStyle w:val="AOF-TITLE"/>
        <w:rPr>
          <w:noProof/>
          <w:spacing w:val="0"/>
          <w:kern w:val="0"/>
        </w:rPr>
      </w:pPr>
      <w:r w:rsidRPr="004D3FAE">
        <w:rPr>
          <w:noProof/>
          <w:spacing w:val="0"/>
          <w:kern w:val="0"/>
        </w:rPr>
        <w:t>Постулати на вярата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 xml:space="preserve">Постулат </w:t>
      </w:r>
      <w:r w:rsidR="00B554F4">
        <w:rPr>
          <w:noProof/>
          <w:kern w:val="0"/>
        </w:rPr>
        <w:t>I</w:t>
      </w:r>
      <w:r w:rsidRPr="004D3FAE">
        <w:rPr>
          <w:noProof/>
          <w:kern w:val="0"/>
        </w:rPr>
        <w:t xml:space="preserve"> 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Триединният Бог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 във един вечно съществуващ, безкраен Бог, който пълновластно създава и поддържа вселената. Само Той е Бог, свят по естество, качества и цели; че като Бог е свята любов и светлина, Триединен по същество, разкрит като Отец, Син и Свят Дух.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 xml:space="preserve">Битие 1; Левит 19:2; Второзаконие 6:4-5; Исая 5:16, 6:1-7; 40:18-31; Матей 3:16-17, 28:19-20; Йоан 14:6-27; I Коринтяни 8:6; II Коринтяни 13:14; Галатяни 4:4-6; Ефесяни 2:13-18; I Йоан 1:5;4:8 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Постулат II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Исус Христос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 в Исус Христос, Второто Лице на Триединната Божествен същност; че Той вечно е бил едно с Отца; че се е въплътил чрез Святия Дух и се е родил от Дева Мария, така че две цели и съвършени естества, а именно Божието и човешкото, по този начин се съединяват в една личност, която е същински Бог и същински човек, Богочовек.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Исус Христос е умрял за нашите грехове и че наистина е възкръснал от мъртвите и отново е приел Своето тяло заедно с всичко, свързано със съвършенството на човешкото естество, с което естествосе е възнесъл на небето и там е ангажиран с ходатайство за нас.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 xml:space="preserve">Матей 1:20-25; 16:15-16; Лука 1:26-35; Йоан 1:1-18; Деяния 2:22-36; І Йоан1:1-3; 4:2-3, 15; Римляни 8:3, 32-34; Галатяни 4:4-5; Филипяни 2:5-11; Колосяни1:12-22; І Тимотей 6:14-16; Евреи 1:1-5; 7:22-28; 9:24-28 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lastRenderedPageBreak/>
        <w:t>Постулат III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Святият Дух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 в Святия Дух, Третото Лице на Триединната Божествена същност; че Той винаги присъства и резултатно действа в Христовата Църква и заедно с нея, като убеждава греха за грях, новоражда онези, които се покаят и повярват, освещава вярващите и упътва към всяка истина в Исус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Йоан 7:39; 14:15-18, 26; 16:7-15; Деяния 2:33; 15:8-9; І Петър 1:2; І Йоан 3:24; 4:13; Римляни 8:1-27; Галатяни 3:1-14; 4:6; Ефесяни 3:14-21; І Солунци 4:7-8; ІІ Солунци 2:13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Постулат IV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Свещеното Писание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 в пълната боговдъхновеност на Свещеното Писание, под което разбираме шестдесет и шестте книги на Стария и Новия Завет.  Вярваме, че те са дадени чрез божествено вдъхновение и безпогрешно разкриват Божията воля за нас относно всичко необходимо за спасението ни, така че онова, което не се съдържа в тях, не трябва да се налага като постулат на вярата6.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Лука 24:44-47; Йоан 10:35; І Петър 1:10-12; ІІ Петър 1:20-21; І Коринтяни 15:3-4; ІІ Тимотей 3:15-17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Постулат V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Първородният и личният грях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грехът навлиза в света чрез непокорството на прародителите ни, а чрез греха – смъртта. Вярваме, че има два вида грях: първороден грях или греховност и действителен или личен грях.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първородният грях или греховността е онази поквареност на естеството на всички Адамови потомци, поради която всеки човек се е отдалечил твърде много от първоначалната праведност или чистото състояние на нашите прародители преди грехопадението им, станал е Божи противник, няма духовен живот и е склонен да върши зло, и то постоянно. Вярваме също, че първородният грях продължава да съществува заедно с новия живот на новородения човек, докато не бъде изкоренен чрез кръщението със Святия Дух.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първородният грях се отличава от действителния по това, че представлява унаследена склонност към действителен грях, за която никой не е отговорен, докато лекът, предоставен за нея от Бога, не бъде пренебрегнат или отхвърлен.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 xml:space="preserve">Вярваме, че действителният или личен грях е съзнателно нарушение на познат Божи закон от страна на нравствено отговорна личност. Затова този грях не бива да се бърка с неволните и неизбежни недостатъци, немощи, слабости, грешки, провали или други </w:t>
      </w:r>
      <w:r w:rsidRPr="004D3FAE">
        <w:rPr>
          <w:noProof/>
        </w:rPr>
        <w:lastRenderedPageBreak/>
        <w:t xml:space="preserve">отклонения от нормата за съвършено поведение, които са остатъчни следствия от Грехопадението. Но подобни невинни следствия не включват позиции или реакции, които противоречат на Христовия дух и могат с право да бъдат наречени грехове на духа. Вярваме, че личният грях е преди всичко и по същество нарушение на закона на любовта и че по отношение на Христос грехът може да се определи като неверие. 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Първороден грях: Битие 3 гл.; 6:5; Йов 15:14; Псалм 51:5; Йеремия 17:9-10; Марк 7:21-23; І Йоан 1:7-8; Римляни 1:18-25; 5:12-14; 7:1 – 8:9; І Коринтяни 3:1-4; Галатяни 5:16-25;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Личен грях: Матей 22:36-40 (заедно с І Йоан 3:4); Йоан 8:34-36; 16:8-9; І Йоан 1:9 – 2:4; 3:7-10; Римляни 3:23; 6:15-23; 8:18-24; 14:2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 xml:space="preserve">Постулат VI 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Умилостивение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чрез страданията Си, чрез проливането на собствената Си кръв и чрез Своята похвална смърт на кръста, Исус Христос е направил пълно умилостивение за целия грях на човечеството; вярваме, че това умилостивение е единствената основа за нашето спасение, че то е достатъчно за всеки човек от Адамовия род. По Божията благодат умилостивението действително спасява хората, които не са способни да поемат отговорност, и невръстните деца. То обаче придобива действителен характер за спасението на тези, които са достигнали възрастта за поемане на отговорност, само когато те се покаят и повярват.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Исая 63:5-6, 11; Марк 10:45; Лука 24:46-48; Йоан 1:29; 3:14-17; Деяния 4:10-12; І Петър 1:18-21; 2:19-25; І Йоан 2:1-2; Римляни 3:21-26; 4:17-25; 5:6-21; І Коринтяни 6:20; ІІ Коринтяни 5:14-21; Галатяни 1:3-4; 3:13-14; Колосяни 1:19-23; І Тимотей 2:3-6; Тит 2:11-14; Евреи 2:9; 9:11-14; 13:12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Постулат VII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Предшестваща благодат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сътворението на човека по подобие на Бога е включвало способността за избор между доброто и злото и че така човекът е създаден нравствено отговорен; че чрез грехопадението на Адам той става покварен и сега не може да се обърне и насочи сам със собствените си естествени сили и дела към вяра и призоваване на Бога. Но също вярваме, че Бог дарява Своята благодат чрез Исус Христос безвъзмездно на всички хора. Тя дава възможност на всички, които желаят, да се отвърнат от греха и обърнат към правдата, да повярват в Исус Христос за опрощение и очистване от греха и да вършат добри дела, угодни и приемливи пред Бога.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човек, макар и да притежава опитността на новорождението и цялостното освещение, може да отпадне от благодатта и да отстъпи от вярата, и, ако не се покае за греха си, да бъде безнадеждно и вечно изгубен.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lastRenderedPageBreak/>
        <w:t>Богоподобие и нравствена отговорност: Битие 1:26-27; 2:16-17; Второзаконие 28:1-2; 30:19; Исус Навин 24:15; Псалм 8:3-5; Исая 1:8-10; Йеремия 31:29-30; Йезекиил 18:1-4; Михей 6:8; Римляни 1:19-20; 2:1-16; 14:7-12; Галатяни 6:7-8;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Естествена неспособност: Йов 14:4; 15:14; Псалми 14:1-4; 51:5; Йоан 3:6а; Римляни 3:10-12; 5:12-14, 20а; 7:14-25;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Безвъзмездна благодат и дела на вярата: Йезекиил 18:25-26; Йоан 1:12-13; 3:6б; Деяния 5:31; Яков 2:18-22; ІІ Петър 1:10-11; 2:20-22; Римляни 5:6-8, 18; 6:15-16, 23; 10:6-8; 11:22; І Коринтяни 2:9-14; 10:1-12; ІІ Коринтяни 5:18-19; Галатяни 5:6; Ефесяни 2:8-10; Филипяни 2:12-13; Колосяни 1:21-23; ІІ Тимотей 4:10а; Тит 2:11-14; Евреи 2:1-3; 3:12-15; 6:4-6; 10:26-31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Постулат VIII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Покаяние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 xml:space="preserve">Вярваме, че покаянието, което представлява искрена и цялостна промяна на мисленето по отношение на греха и включва чувство за лична вина и доброволно отвръщане от греха, се изисква от всички, които с постъпка или умисъл са станали грешници против Бога. Божият Дух дава на всички, които желаят да се покаят, благодатната помощ на сърдечното разкаяние и надеждата за милост, за да повярват за опрощение и духовен живот. 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ІІ Летописи 7:14; Псалми 32:5-6; 51:1-17; Исая 55:6-7; Йеремия 3:12-14; Йезекиил 18:30-32; 33:14-16; Марк 1:14-15; Лука 3:1-14; 13:1-5; 18:9-14; Деяния 2:38; 3:19; 5:31; 17:30-31; 26:16-18; ІІ Петър 3:9; Римляни 2:4; ІІ Коринтяни 7:8-11; І Солунци 1:9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Постулат IX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Оправдание, новорождение и осиновение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оправданието е онзи благодатен и юридически акт на Бога, чрез който Той предоставя пълно опрощение на цялата вина и съвършено освобождение от наказанието за извършените грехове, а също и приемане като праведни на всички, които повярват в Исус Христос и Го поканят в живота си като Господ и Спасител.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новорождението, т.е. раждането отново, е онова благодатно дело на Бога, чрез което нравственото естество на покаялия се вярващ става духовно съживено и получава духовен живот, който се отличава с неговата способност да вярва, да обича и да се покорява.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осиновението е онзи благодатен акт на Бога, чрез който оправданият и новороден вярващ става Божие дете.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оправданието, новорождението и осиновението протичат едновременно в опита на онези, които търсят Бога, и че условието за придобиването им е вяра, предшествана от покаяние. Вярваме, че Святият Дух свидетелства за това дело и състояние на благодатта.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lastRenderedPageBreak/>
        <w:t>Лука 18:14; Йоан 1:12-13; 3:3-8; 5:24; Деяния 13:39; І Петър 1:23; І Йоан 1:9; 3:1-2, 9; 4:7; 5:1, 9-13, 18; Римляни 1:17; 3:21-26, 28; 4:5-9, 17-25; 5:1, 16-19; 6:4; 7:6; 8:1, 15-17; І Коринтяни 1:30; 6:11; ІІ Коринтяни 5:17-21; Галатяни 2:16-21; 3:1-14, 26; 4:4-7; Ефесяни 1:6-7; 2:1, 4-5; Филипяни 3:3-9; Колосяни 2:13; Тит 3:4-7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Постулат X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Цялостно освещение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освещението е работата на Бог, която води вярващите до Христоподобие. То се извършва от Божията благодат чрез Святия Дух в първоначалното освещение, или новорождението (едноврменно с оправданието), пълното освещение, и продължаващата усъвършенстваща работа на Святия дух, кулминиращо в прослава. В прославата ние сме  пълно преображение на Сина.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цялостното освещение е онзи Божи акт след новорождението, чрез който вярващите се освобождават от първородния грях, т.е. покварената природа, и навлизат в състояние на цялостна посветеност на Бога и усъвършенстваното свято покорство от любов.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Осъществява се чрез кръщението със Святия Дух и обхваща в една опитност очистването на сърцето от греха и пребъдващото присъствие на Святия Дух вътре във вярващия, което му дава сила за живот и служение.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Цялостното освещение е осигурено чрез кръвта на Исус, извършва се мигновено чрез вяра, предшествано от цялостно посвещение, и Святият Дух свидетелства за това дело и състояние на благодатта.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Преживяването също така е познато под разнообразни названия, които представят различните му фази, например „християнско съвършенство“, „съвършена любов“, „сърдечна чистота“, „кръщението със Святия Дух“, „пълнотата на благословението“ и „християнска святост“.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има чувствителна разлика между чистото сърце и зрелия характер. Първото се получава мигновено като резултат от цялостното освещение, а последното е резултат от израстването в благодатта.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благодатта на цялостното освещение включва подтика да израстваме в благодатта. Но този подтик трябва да бъде съзнателно подхранван и да се обръща старателно внимание на потребностите и процесите на духовното развитие и подобрение към христоподобие на характера и личностните качества. Без подобно целенасочено усилие нашето свидетелство може да бъде накърнено и самата благодат – осуетена и в крайна сметка изгубена.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 xml:space="preserve">Чрез участие в средствата на благодатта, особено в общението, дисциплините и тайнствата на църквата, вярващите растат в благодат и изпълваща сърцето любов към Бог и ближния. 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lastRenderedPageBreak/>
        <w:t>Йеремия 31:31-34; Йезекиил 36:25-27; Малахия 3:2-3; Матей 3:11-12; Лука 3:16-17; Йоан 7:37-39; 14:15-23; 17:6-20; Деяния 1:5; 2:1-4; 15:8-9; І Йоан 1:7, 9; Римляни 6:11-13, 19; 8:1-4, 8-14; 12:1-2; ІІ Коринтяни 6:14 – 7:1; Галатяни 2:20; 5:16-25; Ефесяни 3:14-21; 5:17-18, 25-27; Филипяни 3:10-15; Колосяни 3:1-17; І Солунци 5:23-24; Евреи 4:9-11; 10:10-17; 12:1-2; 13:12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„Християнско съвършенство“, „съвършена любов“: Второзаконие 30:6; Матей 5:43-48; 22:37-40; І Йоан 4:17-18; Римляни 12:9-21; 13:8-10; І Коринтяни 13 гл.; Филипяни 3:10-15; Евреи 6:1;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„Сърдечна чистота“: Матей 5:8; Деяния 15:8-9; І Петър 1:22; І Йоан 3:3;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„Кръщение със Святия Дух“: Йеремия 31:31-34; Йезекиил 36:25-27; Малахия 3:2-3; Матей 3:11-12; Лука 3:16-17; Деяния 1:5; 2:1-4; 15:8-9;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„Пълнота на благословението“: Римляни 15:29;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„Християнска святост“: Матей 5:1 – 7:29; Йоан 15:1-11; І Петър 1:15-16; ІІ Петър 1:1-11; 3:18; Юда 1:20-21; Римляни 12:1 – 15:3; ІІ Коринтяни 7:1; Ефесяни 4:17 – 5:20; Филипяни 1:9-11; 3:12-15; Колосяни 2:20 – 3:17; І Солунци 3:13; 4:7-8; 5:23; ІІ Тимотей 2:19-22; Евреи 10:19-25; 12:14; 13:20-21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Постулат XI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Църквата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 в Църквата – общността, която изповядва Исус Христос като Господ; хората, с които Бог е сключил Завет, като ги е обновил в Христос; Христовото Тяло, споено от Святия Дух чрез Словото.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Бог призовава Църквата да изяви своя живот в единството и общението на Духа; в богослужение чрез проповядване на Словото, съблюдаване на тайнствата и служение в Божието име; чрез покорство на Христос и взаимна отчетност.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 xml:space="preserve">Мисията на Църквата в света е да сподели изкупителното и примирителното служение на Христос в силата на Духа.  Църквата изпълнява мисията си да прави ученици чрез благовестване, образование, милосърдие, работи за справедливоста, и свидетелстване за Божието царство. 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Църквата е исторически факт. Като организация тя приема културно обусловени форми. Съществува и като местни събрания, и като всемирно тяло. Упълномощава лица, призовани от Бога за конкретни служения. Бог призовава Църквата да живее под Негово управление в очакване на края на този свят при пришествието на нашия Господ Исус Христос.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Изход 19:3; Йеремия 31:33; Матей 8:11; 10:7; 16:13-19, 24; 18:15-20; 28:19-20; Йоан 17:14-26; 20:21-23; Деяния 1:7-8; 2:32-47; 6:1-2; 13:1; 14:23; І Петър 1:1-2, 13; 2:4-12, 21; 4:1-2, 10-11; І Йоан 4:17; Юда 1:24; Римляни 2:28-29; 4:16; 10:9-15; 11:13-32; 12:1-8; 15:1-3; І Коринтяни 3:5-9; 7:17; 11:1, 17-33; 12:3, 12-31; 14:26-40; ІІ Коринтяни 5:11 – 6:1; Галатяни 5:5, 13-14; 6:1-5, 15; Ефесяни 4:1-17; 5:25-27; Филипяни 2:1-16; І Солунци 4:1-12; І Тимотей 4:13; Евреи 10:19-25; Откровение 5:9-10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lastRenderedPageBreak/>
        <w:t>Постулат XII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Кръщение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християнското кръщение, заповядано от нашия Господ, е тайнство, което показва приемане на преимуществата от изкуплението на Исус Христос. То трябва да се отслужва на вярващите и представлява изявление на вярата им в Исус Христос като техен Спасител и на безрезервното им намерение да се покоряват в святост и праведност.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Тъй като кръщението е символ на новия завет, малки деца могат да бъдат кръщавани по молба на родителите или настойниците, които трябва да дадат уверение за тях относно необходимото християнско обучение.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Кръщението може да се отслужва с поръсване, поливане или потапяне според избора на кандидата.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Матей 3:1-7; 28:16-20; Деяния 2:37-41; 8:35-39; 10:44-48; 16:29-34; 19:1-6; І Петър 3:18-22; Римляни 6:3-4; Галатяни 3:26-28; Колосяни 2:12)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Постулат XIII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Господна вечеря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Вечерята за възпоменание и причастие, въведена от нашия Господ и Спасител Исус Христос, е в основата си новозаветно тайнство, което изявява Христовата жертвена смърт, спечелила за вярващите живот, спасение и обещание за всички духовни благословения в Христос. Господната вечеря е единствено за онези, които са подготвени благоговейно да оценят нейното значение. Чрез нея те изявяват смъртта на Господа, докато Той дойде отново. Тъй като е Трапеза на общението, на нея трябва да бъдат призовавани да участват само онези, които имат вяра в Христос и любов към светиите.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Изход 12:1-14; Матей 26:26-29; Марк 14:22-25; Лука 22:17-20; Йоан 6:28-58; І Коринтяни 10:14-21; 11:23-32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Постулат XIV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Божествено изцеление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 в библейското учение за божественото изцеление и подтикваме своите събратя да се стремят да принасят молитва с вяра за изцелението на болните. Вярваме също, че Бог изцелява посредством медицината.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ІV Царе 5:1-19; Псалм 103:1-5; Матей 4:23-24; 9:18-35; Йоан 4:46-54; Деяния 5:12-16; 9:32-42; 14:8-15; Яков 5:13-16; І Коринтяни 12:4-11; ІІ Коринтяни 12:7-10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lastRenderedPageBreak/>
        <w:t>Постулат XV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Второто пришествие на Христос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Господ Исус Христос ще дойде отново; че ние, които сме живи при пришествието Му, няма да изпреварим онези, които са починали в Христос Исус, но ако пребъдваме в Него, ще бъдем грабнати с възкресените светии, за да срещнем Господа във въздуха, така че ще бъдем с Него завинаги.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Матей 25:31-46; Йоан 14:1-3; Деяния 1:9-11; ІІ Петър 3:3-15; Филипяни 3:20-21; І Солунци 4:13-18; Тит 2:11-14; Евреи 9:26-28; Откровение 1:7-8; 22:7-20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Постулат XVI</w:t>
      </w:r>
    </w:p>
    <w:p w:rsidR="004D3FAE" w:rsidRPr="004D3FAE" w:rsidRDefault="004D3FAE" w:rsidP="004D3FAE">
      <w:pPr>
        <w:pStyle w:val="AOF-DIVISION"/>
        <w:rPr>
          <w:noProof/>
          <w:kern w:val="0"/>
        </w:rPr>
      </w:pPr>
      <w:r w:rsidRPr="004D3FAE">
        <w:rPr>
          <w:noProof/>
          <w:kern w:val="0"/>
        </w:rPr>
        <w:t>Възкресение, съд и вечна съдба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 във възкресението на мъртвите – че телата и на праведните, и на неправедните ще бъдат възкресени и съединени с техните духове: „онези, които са вършили добро, ще възкръснат за живот, а които са вършили зло, ще възкръснат за осъждане“.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 в бъдещия съд, при който всеки човек ще се яви пред Бога, за да бъде съден според делата си в този живот.</w:t>
      </w:r>
    </w:p>
    <w:p w:rsidR="004D3FAE" w:rsidRPr="004D3FAE" w:rsidRDefault="004D3FAE" w:rsidP="004D3FAE">
      <w:pPr>
        <w:pStyle w:val="AOF-BODY"/>
        <w:rPr>
          <w:noProof/>
        </w:rPr>
      </w:pPr>
      <w:r w:rsidRPr="004D3FAE">
        <w:rPr>
          <w:noProof/>
        </w:rPr>
        <w:t>Вярваме, че за всички, които спасително вярват в Исус Христос, нашия Господ, и покорно Го следват, е осигурен славен и вечен живот и че онези, които до последно останат непокаяни, ще страдат вечно в ада.</w:t>
      </w:r>
    </w:p>
    <w:p w:rsidR="004D3FAE" w:rsidRPr="004D3FAE" w:rsidRDefault="004D3FAE" w:rsidP="004D3FAE">
      <w:pPr>
        <w:pStyle w:val="AOF-NOTE"/>
        <w:rPr>
          <w:noProof/>
        </w:rPr>
      </w:pPr>
      <w:r w:rsidRPr="004D3FAE">
        <w:rPr>
          <w:noProof/>
        </w:rPr>
        <w:t>Битие 18:25; І Царе 2:10; Псалм 50:6; Исая 26:19; Даниил 12:2-3; Матей 25:31-46; Марк 9:43-48; Лука 16:19-31; 20:27-38; Йоан 3:16-18; 5:25-29; 11:21-27; Деяния 17:30-31; Римляни 2:1-16; 14:7-12; І Коринтяни 15:12-58; ІІ Коринтяни 5:10; ІІ Солунци 1:5-10; Откровение 20:11-15; 22:1-15</w:t>
      </w:r>
    </w:p>
    <w:p w:rsidR="004D3FAE" w:rsidRPr="004D3FAE" w:rsidRDefault="004D3FAE" w:rsidP="004D3FAE">
      <w:pPr>
        <w:pStyle w:val="AOF-NOTE"/>
        <w:rPr>
          <w:noProof/>
        </w:rPr>
      </w:pPr>
    </w:p>
    <w:sectPr w:rsidR="004D3FAE" w:rsidRPr="004D3FAE" w:rsidSect="00B73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81" w:rsidRPr="004D3FAE" w:rsidRDefault="00804A81" w:rsidP="00E84C03">
      <w:pPr>
        <w:spacing w:after="0" w:line="240" w:lineRule="auto"/>
        <w:rPr>
          <w:noProof/>
        </w:rPr>
      </w:pPr>
      <w:r w:rsidRPr="004D3FAE">
        <w:rPr>
          <w:noProof/>
        </w:rPr>
        <w:separator/>
      </w:r>
    </w:p>
  </w:endnote>
  <w:endnote w:type="continuationSeparator" w:id="0">
    <w:p w:rsidR="00804A81" w:rsidRPr="004D3FAE" w:rsidRDefault="00804A81" w:rsidP="00E84C03">
      <w:pPr>
        <w:spacing w:after="0" w:line="240" w:lineRule="auto"/>
        <w:rPr>
          <w:noProof/>
        </w:rPr>
      </w:pPr>
      <w:r w:rsidRPr="004D3FAE"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AE" w:rsidRDefault="004D3F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AE" w:rsidRDefault="004D3F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AE" w:rsidRDefault="004D3F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81" w:rsidRPr="004D3FAE" w:rsidRDefault="00804A81" w:rsidP="00E84C03">
      <w:pPr>
        <w:spacing w:after="0" w:line="240" w:lineRule="auto"/>
        <w:rPr>
          <w:noProof/>
        </w:rPr>
      </w:pPr>
      <w:r w:rsidRPr="004D3FAE">
        <w:rPr>
          <w:noProof/>
        </w:rPr>
        <w:separator/>
      </w:r>
    </w:p>
  </w:footnote>
  <w:footnote w:type="continuationSeparator" w:id="0">
    <w:p w:rsidR="00804A81" w:rsidRPr="004D3FAE" w:rsidRDefault="00804A81" w:rsidP="00E84C03">
      <w:pPr>
        <w:spacing w:after="0" w:line="240" w:lineRule="auto"/>
        <w:rPr>
          <w:noProof/>
        </w:rPr>
      </w:pPr>
      <w:r w:rsidRPr="004D3FAE">
        <w:rPr>
          <w:noProof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AE" w:rsidRDefault="004D3F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color w:val="7F7F7F" w:themeColor="background1" w:themeShade="7F"/>
      </w:rPr>
      <w:id w:val="62113626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B73807" w:rsidRPr="004D3FAE" w:rsidRDefault="00B73807" w:rsidP="00B7380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noProof/>
          </w:rPr>
        </w:pPr>
        <w:r w:rsidRPr="004D3FAE">
          <w:rPr>
            <w:noProof/>
            <w:color w:val="7F7F7F" w:themeColor="background1" w:themeShade="7F"/>
          </w:rPr>
          <w:t>Постулати на вярата</w:t>
        </w:r>
        <w:r w:rsidRPr="004D3FAE">
          <w:rPr>
            <w:noProof/>
          </w:rPr>
          <w:t xml:space="preserve"> | Страница </w:t>
        </w:r>
        <w:r w:rsidR="00270962" w:rsidRPr="00270962">
          <w:rPr>
            <w:noProof/>
          </w:rPr>
          <w:fldChar w:fldCharType="begin"/>
        </w:r>
        <w:r w:rsidR="00E2325C" w:rsidRPr="004D3FAE">
          <w:rPr>
            <w:noProof/>
          </w:rPr>
          <w:instrText xml:space="preserve"> PAGE   \* MERGEFORMAT </w:instrText>
        </w:r>
        <w:r w:rsidR="00270962" w:rsidRPr="00270962">
          <w:rPr>
            <w:noProof/>
          </w:rPr>
          <w:fldChar w:fldCharType="separate"/>
        </w:r>
        <w:r w:rsidR="00B554F4" w:rsidRPr="00B554F4">
          <w:rPr>
            <w:b/>
            <w:noProof/>
          </w:rPr>
          <w:t>2</w:t>
        </w:r>
        <w:r w:rsidR="00270962" w:rsidRPr="004D3FAE">
          <w:rPr>
            <w:b/>
            <w:noProof/>
          </w:rPr>
          <w:fldChar w:fldCharType="end"/>
        </w:r>
      </w:p>
    </w:sdtContent>
  </w:sdt>
  <w:p w:rsidR="00B73807" w:rsidRPr="004D3FAE" w:rsidRDefault="00B73807">
    <w:pPr>
      <w:pStyle w:val="Header"/>
      <w:rPr>
        <w:noProof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AE" w:rsidRDefault="004D3F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4C03"/>
    <w:rsid w:val="00097A2B"/>
    <w:rsid w:val="001C698B"/>
    <w:rsid w:val="00270962"/>
    <w:rsid w:val="002B1EDB"/>
    <w:rsid w:val="002F76EC"/>
    <w:rsid w:val="003F1DBE"/>
    <w:rsid w:val="003F3ECD"/>
    <w:rsid w:val="003F7CCB"/>
    <w:rsid w:val="00457F50"/>
    <w:rsid w:val="004D3FAE"/>
    <w:rsid w:val="004E2D93"/>
    <w:rsid w:val="00550A3F"/>
    <w:rsid w:val="00597952"/>
    <w:rsid w:val="007E424E"/>
    <w:rsid w:val="00804A81"/>
    <w:rsid w:val="00A54BA9"/>
    <w:rsid w:val="00A9774B"/>
    <w:rsid w:val="00AA22F1"/>
    <w:rsid w:val="00B554F4"/>
    <w:rsid w:val="00B73807"/>
    <w:rsid w:val="00B82766"/>
    <w:rsid w:val="00C843D7"/>
    <w:rsid w:val="00C906A4"/>
    <w:rsid w:val="00CB2FE7"/>
    <w:rsid w:val="00D13F23"/>
    <w:rsid w:val="00E2325C"/>
    <w:rsid w:val="00E8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62"/>
  </w:style>
  <w:style w:type="paragraph" w:styleId="Heading1">
    <w:name w:val="heading 1"/>
    <w:basedOn w:val="Normal"/>
    <w:next w:val="Normal"/>
    <w:link w:val="Heading1Char"/>
    <w:uiPriority w:val="9"/>
    <w:qFormat/>
    <w:rsid w:val="00E84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F-DIVISION">
    <w:name w:val="AOF-DIVISION"/>
    <w:qFormat/>
    <w:rsid w:val="00E84C03"/>
    <w:pPr>
      <w:keepNext/>
      <w:suppressAutoHyphens/>
      <w:spacing w:before="360" w:after="120" w:line="240" w:lineRule="auto"/>
      <w:contextualSpacing/>
      <w:jc w:val="center"/>
      <w:outlineLvl w:val="0"/>
    </w:pPr>
    <w:rPr>
      <w:rFonts w:ascii="Palatino Linotype" w:hAnsi="Palatino Linotype" w:cs="Times New Roman"/>
      <w:bCs/>
      <w:color w:val="000000"/>
      <w:kern w:val="36"/>
      <w:sz w:val="28"/>
      <w:szCs w:val="36"/>
    </w:rPr>
  </w:style>
  <w:style w:type="paragraph" w:customStyle="1" w:styleId="AOF-BODY">
    <w:name w:val="AOF-BODY"/>
    <w:rsid w:val="00C843D7"/>
    <w:pPr>
      <w:suppressAutoHyphens/>
      <w:spacing w:before="60" w:after="60" w:line="320" w:lineRule="exact"/>
      <w:ind w:firstLine="288"/>
      <w:jc w:val="both"/>
    </w:pPr>
    <w:rPr>
      <w:rFonts w:ascii="Palatino Linotype" w:hAnsi="Palatino Linotype" w:cs="Times New Roman"/>
      <w:szCs w:val="24"/>
    </w:rPr>
  </w:style>
  <w:style w:type="paragraph" w:customStyle="1" w:styleId="AOF-NOTE">
    <w:name w:val="AOF-NOTE"/>
    <w:rsid w:val="00E84C03"/>
    <w:pPr>
      <w:spacing w:before="240" w:after="240" w:line="240" w:lineRule="auto"/>
      <w:ind w:left="720" w:right="720"/>
      <w:jc w:val="both"/>
    </w:pPr>
    <w:rPr>
      <w:rFonts w:cs="Times New Roman"/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84C03"/>
    <w:rPr>
      <w:vertAlign w:val="superscript"/>
    </w:rPr>
  </w:style>
  <w:style w:type="paragraph" w:customStyle="1" w:styleId="DIVISIONminor">
    <w:name w:val="DIVISION_minor"/>
    <w:basedOn w:val="AOF-DIVISION"/>
    <w:qFormat/>
    <w:rsid w:val="00E84C03"/>
    <w:pPr>
      <w:keepLines/>
      <w:spacing w:before="240"/>
      <w:outlineLvl w:val="1"/>
    </w:pPr>
    <w:rPr>
      <w:sz w:val="24"/>
      <w:szCs w:val="28"/>
    </w:rPr>
  </w:style>
  <w:style w:type="paragraph" w:customStyle="1" w:styleId="BODYnotehanging">
    <w:name w:val="BODY_note_hanging"/>
    <w:basedOn w:val="Normal"/>
    <w:qFormat/>
    <w:rsid w:val="00E84C03"/>
    <w:pPr>
      <w:spacing w:before="60" w:after="60" w:line="280" w:lineRule="exact"/>
      <w:ind w:left="576" w:hanging="288"/>
    </w:pPr>
    <w:rPr>
      <w:rFonts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4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84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OF-TITLE">
    <w:name w:val="AOF-TITLE"/>
    <w:qFormat/>
    <w:rsid w:val="00E84C03"/>
    <w:pPr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807"/>
  </w:style>
  <w:style w:type="paragraph" w:styleId="Footer">
    <w:name w:val="footer"/>
    <w:basedOn w:val="Normal"/>
    <w:link w:val="FooterChar"/>
    <w:uiPriority w:val="99"/>
    <w:unhideWhenUsed/>
    <w:rsid w:val="00B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07"/>
  </w:style>
  <w:style w:type="paragraph" w:styleId="BalloonText">
    <w:name w:val="Balloon Text"/>
    <w:basedOn w:val="Normal"/>
    <w:link w:val="BalloonTextChar"/>
    <w:uiPriority w:val="99"/>
    <w:semiHidden/>
    <w:unhideWhenUsed/>
    <w:rsid w:val="00AA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F1"/>
    <w:rPr>
      <w:rFonts w:ascii="Tahoma" w:hAnsi="Tahoma" w:cs="Tahoma"/>
      <w:sz w:val="16"/>
      <w:szCs w:val="16"/>
    </w:rPr>
  </w:style>
  <w:style w:type="paragraph" w:customStyle="1" w:styleId="AOF-Church">
    <w:name w:val="AOF-Church"/>
    <w:qFormat/>
    <w:rsid w:val="00B82766"/>
    <w:pPr>
      <w:jc w:val="center"/>
    </w:pPr>
    <w:rPr>
      <w:rFonts w:ascii="Calibri Light" w:eastAsiaTheme="majorEastAsia" w:hAnsi="Calibri Light" w:cstheme="majorBidi"/>
      <w:color w:val="17365D" w:themeColor="text2" w:themeShade="BF"/>
      <w:spacing w:val="20"/>
      <w:kern w:val="28"/>
      <w:sz w:val="56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F-DIVISION">
    <w:name w:val="AOF-DIVISION"/>
    <w:qFormat/>
    <w:rsid w:val="00E84C03"/>
    <w:pPr>
      <w:keepNext/>
      <w:suppressAutoHyphens/>
      <w:spacing w:before="360" w:after="120" w:line="240" w:lineRule="auto"/>
      <w:contextualSpacing/>
      <w:jc w:val="center"/>
      <w:outlineLvl w:val="0"/>
    </w:pPr>
    <w:rPr>
      <w:rFonts w:ascii="Palatino Linotype" w:hAnsi="Palatino Linotype" w:cs="Times New Roman"/>
      <w:bCs/>
      <w:color w:val="000000"/>
      <w:kern w:val="36"/>
      <w:sz w:val="28"/>
      <w:szCs w:val="36"/>
    </w:rPr>
  </w:style>
  <w:style w:type="paragraph" w:customStyle="1" w:styleId="AOF-BODY">
    <w:name w:val="AOF-BODY"/>
    <w:rsid w:val="00C843D7"/>
    <w:pPr>
      <w:suppressAutoHyphens/>
      <w:spacing w:before="60" w:after="60" w:line="320" w:lineRule="exact"/>
      <w:ind w:firstLine="288"/>
      <w:jc w:val="both"/>
    </w:pPr>
    <w:rPr>
      <w:rFonts w:ascii="Palatino Linotype" w:hAnsi="Palatino Linotype" w:cs="Times New Roman"/>
      <w:szCs w:val="24"/>
    </w:rPr>
  </w:style>
  <w:style w:type="paragraph" w:customStyle="1" w:styleId="AOF-NOTE">
    <w:name w:val="AOF-NOTE"/>
    <w:rsid w:val="00E84C03"/>
    <w:pPr>
      <w:spacing w:before="240" w:after="240" w:line="240" w:lineRule="auto"/>
      <w:ind w:left="720" w:right="720"/>
      <w:jc w:val="both"/>
    </w:pPr>
    <w:rPr>
      <w:rFonts w:cs="Times New Roman"/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84C03"/>
    <w:rPr>
      <w:vertAlign w:val="superscript"/>
    </w:rPr>
  </w:style>
  <w:style w:type="paragraph" w:customStyle="1" w:styleId="DIVISIONminor">
    <w:name w:val="DIVISION_minor"/>
    <w:basedOn w:val="AOF-DIVISION"/>
    <w:qFormat/>
    <w:rsid w:val="00E84C03"/>
    <w:pPr>
      <w:keepLines/>
      <w:spacing w:before="240"/>
      <w:outlineLvl w:val="1"/>
    </w:pPr>
    <w:rPr>
      <w:sz w:val="24"/>
      <w:szCs w:val="28"/>
    </w:rPr>
  </w:style>
  <w:style w:type="paragraph" w:customStyle="1" w:styleId="BODYnotehanging">
    <w:name w:val="BODY_note_hanging"/>
    <w:basedOn w:val="Normal"/>
    <w:qFormat/>
    <w:rsid w:val="00E84C03"/>
    <w:pPr>
      <w:spacing w:before="60" w:after="60" w:line="280" w:lineRule="exact"/>
      <w:ind w:left="576" w:hanging="288"/>
    </w:pPr>
    <w:rPr>
      <w:rFonts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4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84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OF-TITLE">
    <w:name w:val="AOF-TITLE"/>
    <w:qFormat/>
    <w:rsid w:val="00E84C03"/>
    <w:pPr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807"/>
  </w:style>
  <w:style w:type="paragraph" w:styleId="Footer">
    <w:name w:val="footer"/>
    <w:basedOn w:val="Normal"/>
    <w:link w:val="FooterChar"/>
    <w:uiPriority w:val="99"/>
    <w:unhideWhenUsed/>
    <w:rsid w:val="00B7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07"/>
  </w:style>
  <w:style w:type="paragraph" w:styleId="BalloonText">
    <w:name w:val="Balloon Text"/>
    <w:basedOn w:val="Normal"/>
    <w:link w:val="BalloonTextChar"/>
    <w:uiPriority w:val="99"/>
    <w:semiHidden/>
    <w:unhideWhenUsed/>
    <w:rsid w:val="00AA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F1"/>
    <w:rPr>
      <w:rFonts w:ascii="Tahoma" w:hAnsi="Tahoma" w:cs="Tahoma"/>
      <w:sz w:val="16"/>
      <w:szCs w:val="16"/>
    </w:rPr>
  </w:style>
  <w:style w:type="paragraph" w:customStyle="1" w:styleId="AOF-Church">
    <w:name w:val="AOF-Church"/>
    <w:qFormat/>
    <w:rsid w:val="00B82766"/>
    <w:pPr>
      <w:jc w:val="center"/>
    </w:pPr>
    <w:rPr>
      <w:rFonts w:ascii="Calibri Light" w:eastAsiaTheme="majorEastAsia" w:hAnsi="Calibri Light" w:cstheme="majorBidi"/>
      <w:color w:val="17365D" w:themeColor="text2" w:themeShade="BF"/>
      <w:spacing w:val="20"/>
      <w:kern w:val="28"/>
      <w:sz w:val="56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2015-01-31T19:25:00Z</dcterms:created>
  <dcterms:modified xsi:type="dcterms:W3CDTF">2015-01-31T19:25:00Z</dcterms:modified>
</cp:coreProperties>
</file>